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7837C7" w:rsidRPr="009328C5" w:rsidRDefault="007837C7">
      <w:pPr>
        <w:pStyle w:val="1"/>
        <w:rPr>
          <w:color w:val="auto"/>
        </w:rPr>
      </w:pPr>
      <w:r w:rsidRPr="009328C5">
        <w:rPr>
          <w:color w:val="auto"/>
        </w:rPr>
        <w:fldChar w:fldCharType="begin"/>
      </w:r>
      <w:r w:rsidRPr="009328C5">
        <w:rPr>
          <w:color w:val="auto"/>
        </w:rPr>
        <w:instrText>HYPERLINK "http://ivo.garant.ru/document/redirect/73821562/0"</w:instrText>
      </w:r>
      <w:r w:rsidR="009328C5" w:rsidRPr="009328C5">
        <w:rPr>
          <w:color w:val="auto"/>
        </w:rPr>
      </w:r>
      <w:r w:rsidRPr="009328C5">
        <w:rPr>
          <w:color w:val="auto"/>
        </w:rPr>
        <w:fldChar w:fldCharType="separate"/>
      </w:r>
      <w:r w:rsidRPr="009328C5">
        <w:rPr>
          <w:rStyle w:val="a4"/>
          <w:rFonts w:cs="Times New Roman CYR"/>
          <w:color w:val="auto"/>
        </w:rPr>
        <w:t>Постановление Правительства РФ от 27 марта 2020 г. N 356 "О случаях и порядке возврата или перечисления средств, поступающих во временное распоряжение получателей бюджетных средств"</w:t>
      </w:r>
      <w:r w:rsidRPr="009328C5">
        <w:rPr>
          <w:color w:val="auto"/>
        </w:rPr>
        <w:fldChar w:fldCharType="end"/>
      </w:r>
    </w:p>
    <w:p w:rsidR="007837C7" w:rsidRDefault="007837C7">
      <w:r>
        <w:t xml:space="preserve">В соответствии со </w:t>
      </w:r>
      <w:hyperlink r:id="rId8" w:history="1">
        <w:r>
          <w:rPr>
            <w:rStyle w:val="a4"/>
            <w:rFonts w:cs="Times New Roman CYR"/>
          </w:rPr>
          <w:t>статьей 220</w:t>
        </w:r>
      </w:hyperlink>
      <w:hyperlink r:id="rId9" w:history="1">
        <w:r>
          <w:rPr>
            <w:rStyle w:val="a4"/>
            <w:rFonts w:cs="Times New Roman CYR"/>
            <w:vertAlign w:val="superscript"/>
          </w:rPr>
          <w:t> 1</w:t>
        </w:r>
      </w:hyperlink>
      <w:r>
        <w:t xml:space="preserve"> Бюджетного кодекса Российской Федерации Правительство Российской Федерации постановляет:</w:t>
      </w:r>
    </w:p>
    <w:p w:rsidR="007837C7" w:rsidRDefault="007837C7">
      <w:bookmarkStart w:id="1" w:name="sub_1"/>
      <w:r>
        <w:t>1. Установить, что возврат плательщику средств, поступивших во временное распоряжение получателей средств федерального бюджета, бюджета субъекта Российской Федерации, местного бюджета, бюджета государственного внебюджетного фонда (далее - получатель бюджетных средств), учтенных на лицевых счетах, открытых получателям бюджетных средств в территориальных органах Федерального казначейства, финансовых органах субъектов Российской Федерации, финансовых органах муниципальных образований, органах управления государственным внебюджетным фондом (далее - средства во временном распоряжении), или перечисление таких средств осуществляется в случаях, установленных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законами субъекта Российской Федерации, нормативными правовыми актами высших исполнительных органов государственной власти субъекта Российской Федерации, муниципальными правовыми актами, определяющими основания для поступления средств во временном распоряжении получателям бюджетных средств.</w:t>
      </w:r>
    </w:p>
    <w:p w:rsidR="007837C7" w:rsidRDefault="007837C7">
      <w:bookmarkStart w:id="2" w:name="sub_2"/>
      <w:bookmarkEnd w:id="1"/>
      <w:r>
        <w:t xml:space="preserve">2. Возврат плательщику или перечисление средств во временном распоряжении осуществляется в соответствии с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законами субъекта Российской Федерации, нормативными правовыми актами высших исполнительных органов государственной власти субъекта Российской Федерации, муниципальными правовыми актами на основании распоряжения о совершении казначейских платежей, сформированного и представленного получателем бюджетных средств, являющимся участником системы казначейских платежей, согласно правилам организации и функционирования системы казначейских платежей, установленным в соответствии с положениями </w:t>
      </w:r>
      <w:hyperlink r:id="rId10" w:history="1">
        <w:r>
          <w:rPr>
            <w:rStyle w:val="a4"/>
            <w:rFonts w:cs="Times New Roman CYR"/>
          </w:rPr>
          <w:t>пункта 5 статьи 242</w:t>
        </w:r>
      </w:hyperlink>
      <w:hyperlink r:id="rId11" w:history="1">
        <w:r>
          <w:rPr>
            <w:rStyle w:val="a4"/>
            <w:rFonts w:cs="Times New Roman CYR"/>
            <w:vertAlign w:val="superscript"/>
          </w:rPr>
          <w:t> 7</w:t>
        </w:r>
      </w:hyperlink>
      <w:r>
        <w:t xml:space="preserve"> Бюджетного кодекса Российской Федерации.</w:t>
      </w:r>
    </w:p>
    <w:p w:rsidR="007837C7" w:rsidRDefault="007837C7">
      <w:bookmarkStart w:id="3" w:name="sub_3"/>
      <w:bookmarkEnd w:id="2"/>
      <w:r>
        <w:t xml:space="preserve">3. В целях возврата плательщику средств во временном распоряжении в случае отзыва Центральным банком Российской Федерации лицензии у кредитной организации, ранее осуществившей банковскую операцию по переводу указанных денежных средств, в том числе в случае ее банкротства, ликвидации, возврат таких средств осуществляется на основании указанного в </w:t>
      </w:r>
      <w:hyperlink w:anchor="sub_2" w:history="1">
        <w:r>
          <w:rPr>
            <w:rStyle w:val="a4"/>
            <w:rFonts w:cs="Times New Roman CYR"/>
          </w:rPr>
          <w:t>пункте 2</w:t>
        </w:r>
      </w:hyperlink>
      <w:r>
        <w:t xml:space="preserve"> настоящего постановления распоряжения о совершении казначейских платежей с приложением заявления плательщика, содержащего реквизиты для осуществления возврата средств во временном распоряжении в соответствии с пунктом 2 настоящего постановления.</w:t>
      </w:r>
    </w:p>
    <w:p w:rsidR="007837C7" w:rsidRDefault="007837C7">
      <w:bookmarkStart w:id="4" w:name="sub_4"/>
      <w:bookmarkEnd w:id="3"/>
      <w:r>
        <w:t xml:space="preserve">4. В случае невостребованности средств во временном распоряжении по истечении 3 лет со дня их поступления получателю бюджетных средств и невозможности их возврата плательщику в связи с непредставлением им заявления, указанного в </w:t>
      </w:r>
      <w:hyperlink w:anchor="sub_3" w:history="1">
        <w:r>
          <w:rPr>
            <w:rStyle w:val="a4"/>
            <w:rFonts w:cs="Times New Roman CYR"/>
          </w:rPr>
          <w:t>пункте 3</w:t>
        </w:r>
      </w:hyperlink>
      <w:r>
        <w:t xml:space="preserve"> настоящего постановления, или перечисления в соответствии с федеральными законами, нормативными правовыми актами Президента Российской Федерации, нормативными правовыми актами Правительства Российской Федерации, законами субъекта Российской Федерации, нормативными правовыми актами высших исполнительных органов государственной власти субъекта Российской Федерации, муниципальными правовыми актами такие средства подлежат перечислению в установленном </w:t>
      </w:r>
      <w:hyperlink r:id="rId12" w:history="1">
        <w:r>
          <w:rPr>
            <w:rStyle w:val="a4"/>
            <w:rFonts w:cs="Times New Roman CYR"/>
          </w:rPr>
          <w:t>бюджетным законодательством</w:t>
        </w:r>
      </w:hyperlink>
      <w:r>
        <w:t xml:space="preserve"> Российской Федерации порядке в доход соответствующего бюджета бюджетной системы Российской Федерации.</w:t>
      </w:r>
    </w:p>
    <w:p w:rsidR="007837C7" w:rsidRDefault="007837C7">
      <w:bookmarkStart w:id="5" w:name="sub_5"/>
      <w:bookmarkEnd w:id="4"/>
      <w:r>
        <w:t>5. Настоящее постановление вступает в силу с 1 января 2021 г.</w:t>
      </w:r>
    </w:p>
    <w:tbl>
      <w:tblPr>
        <w:tblW w:w="5000" w:type="pct"/>
        <w:tblInd w:w="108" w:type="dxa"/>
        <w:tblLook w:val="0000" w:firstRow="0" w:lastRow="0" w:firstColumn="0" w:lastColumn="0" w:noHBand="0" w:noVBand="0"/>
      </w:tblPr>
      <w:tblGrid>
        <w:gridCol w:w="7010"/>
        <w:gridCol w:w="3506"/>
      </w:tblGrid>
      <w:tr w:rsidR="007837C7" w:rsidRPr="009328C5" w:rsidTr="009328C5">
        <w:tblPrEx>
          <w:tblCellMar>
            <w:top w:w="0" w:type="dxa"/>
            <w:bottom w:w="0" w:type="dxa"/>
          </w:tblCellMar>
        </w:tblPrEx>
        <w:tc>
          <w:tcPr>
            <w:tcW w:w="3333" w:type="pct"/>
            <w:tcBorders>
              <w:top w:val="nil"/>
              <w:left w:val="nil"/>
              <w:bottom w:val="nil"/>
              <w:right w:val="nil"/>
            </w:tcBorders>
          </w:tcPr>
          <w:bookmarkEnd w:id="5"/>
          <w:p w:rsidR="007837C7" w:rsidRPr="009328C5" w:rsidRDefault="007837C7">
            <w:pPr>
              <w:pStyle w:val="a6"/>
              <w:rPr>
                <w:sz w:val="20"/>
                <w:szCs w:val="20"/>
              </w:rPr>
            </w:pPr>
            <w:r w:rsidRPr="009328C5">
              <w:rPr>
                <w:sz w:val="20"/>
                <w:szCs w:val="20"/>
              </w:rPr>
              <w:t>Председатель Правительства</w:t>
            </w:r>
            <w:r w:rsidRPr="009328C5">
              <w:rPr>
                <w:sz w:val="20"/>
                <w:szCs w:val="20"/>
              </w:rPr>
              <w:br/>
              <w:t>Российской Федерации</w:t>
            </w:r>
          </w:p>
        </w:tc>
        <w:tc>
          <w:tcPr>
            <w:tcW w:w="1667" w:type="pct"/>
            <w:tcBorders>
              <w:top w:val="nil"/>
              <w:left w:val="nil"/>
              <w:bottom w:val="nil"/>
              <w:right w:val="nil"/>
            </w:tcBorders>
          </w:tcPr>
          <w:p w:rsidR="007837C7" w:rsidRPr="009328C5" w:rsidRDefault="007837C7">
            <w:pPr>
              <w:pStyle w:val="a5"/>
              <w:jc w:val="right"/>
              <w:rPr>
                <w:sz w:val="20"/>
                <w:szCs w:val="20"/>
              </w:rPr>
            </w:pPr>
            <w:r w:rsidRPr="009328C5">
              <w:rPr>
                <w:sz w:val="20"/>
                <w:szCs w:val="20"/>
              </w:rPr>
              <w:t>М. Мишустин</w:t>
            </w:r>
          </w:p>
        </w:tc>
      </w:tr>
    </w:tbl>
    <w:p w:rsidR="007837C7" w:rsidRDefault="007837C7"/>
    <w:sectPr w:rsidR="007837C7">
      <w:headerReference w:type="default" r:id="rId13"/>
      <w:footerReference w:type="default" r:id="rId14"/>
      <w:pgSz w:w="11900" w:h="16800"/>
      <w:pgMar w:top="1440" w:right="800" w:bottom="1440" w:left="8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14CC" w:rsidRDefault="00AD14CC">
      <w:r>
        <w:separator/>
      </w:r>
    </w:p>
  </w:endnote>
  <w:endnote w:type="continuationSeparator" w:id="0">
    <w:p w:rsidR="00AD14CC" w:rsidRDefault="00AD1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firstRow="0" w:lastRow="0" w:firstColumn="0" w:lastColumn="0" w:noHBand="0" w:noVBand="0"/>
    </w:tblPr>
    <w:tblGrid>
      <w:gridCol w:w="3436"/>
      <w:gridCol w:w="3432"/>
      <w:gridCol w:w="3432"/>
    </w:tblGrid>
    <w:tr w:rsidR="007837C7">
      <w:tblPrEx>
        <w:tblCellMar>
          <w:top w:w="0" w:type="dxa"/>
          <w:left w:w="0" w:type="dxa"/>
          <w:bottom w:w="0" w:type="dxa"/>
          <w:right w:w="0" w:type="dxa"/>
        </w:tblCellMar>
      </w:tblPrEx>
      <w:tc>
        <w:tcPr>
          <w:tcW w:w="3433" w:type="dxa"/>
          <w:tcBorders>
            <w:top w:val="nil"/>
            <w:left w:val="nil"/>
            <w:bottom w:val="nil"/>
            <w:right w:val="nil"/>
          </w:tcBorders>
        </w:tcPr>
        <w:p w:rsidR="007837C7" w:rsidRDefault="007837C7">
          <w:pPr>
            <w:ind w:firstLine="0"/>
            <w:jc w:val="lef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CREATEDATE  \@ "dd.MM.yyyy"  \* MERGEFORMAT </w:instrText>
          </w:r>
          <w:r>
            <w:rPr>
              <w:rFonts w:ascii="Times New Roman" w:hAnsi="Times New Roman" w:cs="Times New Roman"/>
              <w:sz w:val="20"/>
              <w:szCs w:val="20"/>
            </w:rPr>
            <w:fldChar w:fldCharType="separate"/>
          </w:r>
          <w:r>
            <w:rPr>
              <w:rFonts w:ascii="Times New Roman" w:hAnsi="Times New Roman" w:cs="Times New Roman"/>
              <w:sz w:val="20"/>
              <w:szCs w:val="20"/>
            </w:rPr>
            <w:t xml:space="preserve"> 22.11.202</w:t>
          </w:r>
          <w:r>
            <w:rPr>
              <w:rFonts w:ascii="Times New Roman" w:hAnsi="Times New Roman" w:cs="Times New Roman"/>
              <w:sz w:val="20"/>
              <w:szCs w:val="20"/>
            </w:rPr>
            <w:fldChar w:fldCharType="end"/>
          </w:r>
          <w:r>
            <w:rPr>
              <w:rFonts w:ascii="Times New Roman" w:hAnsi="Times New Roman" w:cs="Times New Roman"/>
              <w:sz w:val="20"/>
              <w:szCs w:val="20"/>
            </w:rPr>
            <w:t xml:space="preserve">2 </w:t>
          </w:r>
        </w:p>
      </w:tc>
      <w:tc>
        <w:tcPr>
          <w:tcW w:w="1666" w:type="pct"/>
          <w:tcBorders>
            <w:top w:val="nil"/>
            <w:left w:val="nil"/>
            <w:bottom w:val="nil"/>
            <w:right w:val="nil"/>
          </w:tcBorders>
        </w:tcPr>
        <w:p w:rsidR="007837C7" w:rsidRDefault="007837C7">
          <w:pPr>
            <w:ind w:firstLine="0"/>
            <w:jc w:val="center"/>
            <w:rPr>
              <w:rFonts w:ascii="Times New Roman" w:hAnsi="Times New Roman" w:cs="Times New Roman"/>
              <w:sz w:val="20"/>
              <w:szCs w:val="20"/>
            </w:rPr>
          </w:pPr>
          <w:r>
            <w:rPr>
              <w:rFonts w:ascii="Times New Roman" w:hAnsi="Times New Roman" w:cs="Times New Roman"/>
              <w:sz w:val="20"/>
              <w:szCs w:val="20"/>
            </w:rPr>
            <w:t>Система ГАРАНТ</w:t>
          </w:r>
        </w:p>
      </w:tc>
      <w:tc>
        <w:tcPr>
          <w:tcW w:w="1666" w:type="pct"/>
          <w:tcBorders>
            <w:top w:val="nil"/>
            <w:left w:val="nil"/>
            <w:bottom w:val="nil"/>
            <w:right w:val="nil"/>
          </w:tcBorders>
        </w:tcPr>
        <w:p w:rsidR="007837C7" w:rsidRDefault="007837C7">
          <w:pPr>
            <w:ind w:firstLine="0"/>
            <w:jc w:val="right"/>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PAGE  \* MERGEFORMAT </w:instrText>
          </w:r>
          <w:r>
            <w:rPr>
              <w:rFonts w:ascii="Times New Roman" w:hAnsi="Times New Roman" w:cs="Times New Roman"/>
              <w:sz w:val="20"/>
              <w:szCs w:val="20"/>
            </w:rPr>
            <w:fldChar w:fldCharType="separate"/>
          </w:r>
          <w:r w:rsidR="00AE041C">
            <w:rPr>
              <w:rFonts w:ascii="Times New Roman" w:hAnsi="Times New Roman" w:cs="Times New Roman"/>
              <w:noProof/>
              <w:sz w:val="20"/>
              <w:szCs w:val="20"/>
            </w:rPr>
            <w:t>1</w:t>
          </w:r>
          <w:r>
            <w:rPr>
              <w:rFonts w:ascii="Times New Roman" w:hAnsi="Times New Roman" w:cs="Times New Roman"/>
              <w:sz w:val="20"/>
              <w:szCs w:val="20"/>
            </w:rPr>
            <w:fldChar w:fldCharType="end"/>
          </w:r>
          <w:r>
            <w:rPr>
              <w:rFonts w:ascii="Times New Roman" w:hAnsi="Times New Roman" w:cs="Times New Roman"/>
              <w:sz w:val="20"/>
              <w:szCs w:val="20"/>
            </w:rPr>
            <w:t>/</w:t>
          </w:r>
          <w:r>
            <w:rPr>
              <w:rFonts w:ascii="Times New Roman" w:hAnsi="Times New Roman" w:cs="Times New Roman"/>
              <w:sz w:val="20"/>
              <w:szCs w:val="20"/>
            </w:rPr>
            <w:fldChar w:fldCharType="begin"/>
          </w:r>
          <w:r>
            <w:rPr>
              <w:rFonts w:ascii="Times New Roman" w:hAnsi="Times New Roman" w:cs="Times New Roman"/>
              <w:sz w:val="20"/>
              <w:szCs w:val="20"/>
            </w:rPr>
            <w:instrText xml:space="preserve">NUMPAGES  \* Arabic  \* MERGEFORMAT </w:instrText>
          </w:r>
          <w:r>
            <w:rPr>
              <w:rFonts w:ascii="Times New Roman" w:hAnsi="Times New Roman" w:cs="Times New Roman"/>
              <w:sz w:val="20"/>
              <w:szCs w:val="20"/>
            </w:rPr>
            <w:fldChar w:fldCharType="separate"/>
          </w:r>
          <w:r w:rsidR="00AE041C">
            <w:rPr>
              <w:rFonts w:ascii="Times New Roman" w:hAnsi="Times New Roman" w:cs="Times New Roman"/>
              <w:noProof/>
              <w:sz w:val="20"/>
              <w:szCs w:val="20"/>
            </w:rPr>
            <w:t>1</w:t>
          </w:r>
          <w:r>
            <w:rPr>
              <w:rFonts w:ascii="Times New Roman" w:hAnsi="Times New Roman" w:cs="Times New Roman"/>
              <w:sz w:val="20"/>
              <w:szCs w:val="20"/>
            </w:rPr>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14CC" w:rsidRDefault="00AD14CC">
      <w:r>
        <w:separator/>
      </w:r>
    </w:p>
  </w:footnote>
  <w:footnote w:type="continuationSeparator" w:id="0">
    <w:p w:rsidR="00AD14CC" w:rsidRDefault="00AD14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7C7" w:rsidRDefault="007837C7">
    <w:pPr>
      <w:ind w:firstLine="0"/>
      <w:jc w:val="left"/>
      <w:rPr>
        <w:rFonts w:ascii="Times New Roman" w:hAnsi="Times New Roman" w:cs="Times New Roman"/>
        <w:sz w:val="20"/>
        <w:szCs w:val="20"/>
      </w:rPr>
    </w:pPr>
    <w:r>
      <w:rPr>
        <w:rFonts w:ascii="Times New Roman" w:hAnsi="Times New Roman" w:cs="Times New Roman"/>
        <w:sz w:val="20"/>
        <w:szCs w:val="20"/>
      </w:rPr>
      <w:t>Постановление Правительства РФ от 27 марта 2020 г. N 356 "О случаях и порядке возврата или перечисления…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28C5"/>
    <w:rsid w:val="007837C7"/>
    <w:rsid w:val="009328C5"/>
    <w:rsid w:val="00AD14CC"/>
    <w:rsid w:val="00AE04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semiHidden/>
    <w:unhideWhenUsed/>
    <w:pPr>
      <w:tabs>
        <w:tab w:val="center" w:pos="4677"/>
        <w:tab w:val="right" w:pos="9355"/>
      </w:tabs>
    </w:pPr>
  </w:style>
  <w:style w:type="character" w:customStyle="1" w:styleId="a9">
    <w:name w:val="Верхний колонтитул Знак"/>
    <w:basedOn w:val="a0"/>
    <w:link w:val="a8"/>
    <w:uiPriority w:val="99"/>
    <w:semiHidden/>
    <w:locked/>
    <w:rPr>
      <w:rFonts w:ascii="Times New Roman CYR" w:hAnsi="Times New Roman CYR" w:cs="Times New Roman CYR"/>
      <w:sz w:val="24"/>
      <w:szCs w:val="24"/>
    </w:rPr>
  </w:style>
  <w:style w:type="paragraph" w:styleId="aa">
    <w:name w:val="footer"/>
    <w:basedOn w:val="a"/>
    <w:link w:val="ab"/>
    <w:uiPriority w:val="99"/>
    <w:semiHidden/>
    <w:unhideWhenUsed/>
    <w:pPr>
      <w:tabs>
        <w:tab w:val="center" w:pos="4677"/>
        <w:tab w:val="right" w:pos="9355"/>
      </w:tabs>
    </w:pPr>
  </w:style>
  <w:style w:type="character" w:customStyle="1" w:styleId="ab">
    <w:name w:val="Нижний колонтитул Знак"/>
    <w:basedOn w:val="a0"/>
    <w:link w:val="aa"/>
    <w:uiPriority w:val="99"/>
    <w:semiHidden/>
    <w:locked/>
    <w:rPr>
      <w:rFonts w:ascii="Times New Roman CYR" w:hAnsi="Times New Roman CYR" w:cs="Times New Roman CY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character" w:customStyle="1" w:styleId="a3">
    <w:name w:val="Цветовое выделение"/>
    <w:uiPriority w:val="99"/>
    <w:rPr>
      <w:b/>
      <w:color w:val="26282F"/>
    </w:rPr>
  </w:style>
  <w:style w:type="character" w:customStyle="1" w:styleId="a4">
    <w:name w:val="Гипертекстовая ссылка"/>
    <w:basedOn w:val="a3"/>
    <w:uiPriority w:val="99"/>
    <w:rPr>
      <w:rFonts w:cs="Times New Roman"/>
      <w:b w:val="0"/>
      <w:color w:val="106BBE"/>
    </w:rPr>
  </w:style>
  <w:style w:type="paragraph" w:customStyle="1" w:styleId="a5">
    <w:name w:val="Нормальный (таблица)"/>
    <w:basedOn w:val="a"/>
    <w:next w:val="a"/>
    <w:uiPriority w:val="99"/>
    <w:pPr>
      <w:ind w:firstLine="0"/>
    </w:pPr>
  </w:style>
  <w:style w:type="paragraph" w:customStyle="1" w:styleId="a6">
    <w:name w:val="Прижатый влево"/>
    <w:basedOn w:val="a"/>
    <w:next w:val="a"/>
    <w:uiPriority w:val="99"/>
    <w:pPr>
      <w:ind w:firstLine="0"/>
      <w:jc w:val="left"/>
    </w:pPr>
  </w:style>
  <w:style w:type="character" w:customStyle="1" w:styleId="a7">
    <w:name w:val="Цветовое выделение для Текст"/>
    <w:uiPriority w:val="99"/>
    <w:rPr>
      <w:rFonts w:ascii="Times New Roman CYR" w:hAnsi="Times New Roman CYR"/>
    </w:rPr>
  </w:style>
  <w:style w:type="paragraph" w:styleId="a8">
    <w:name w:val="header"/>
    <w:basedOn w:val="a"/>
    <w:link w:val="a9"/>
    <w:uiPriority w:val="99"/>
    <w:semiHidden/>
    <w:unhideWhenUsed/>
    <w:pPr>
      <w:tabs>
        <w:tab w:val="center" w:pos="4677"/>
        <w:tab w:val="right" w:pos="9355"/>
      </w:tabs>
    </w:pPr>
  </w:style>
  <w:style w:type="character" w:customStyle="1" w:styleId="a9">
    <w:name w:val="Верхний колонтитул Знак"/>
    <w:basedOn w:val="a0"/>
    <w:link w:val="a8"/>
    <w:uiPriority w:val="99"/>
    <w:semiHidden/>
    <w:locked/>
    <w:rPr>
      <w:rFonts w:ascii="Times New Roman CYR" w:hAnsi="Times New Roman CYR" w:cs="Times New Roman CYR"/>
      <w:sz w:val="24"/>
      <w:szCs w:val="24"/>
    </w:rPr>
  </w:style>
  <w:style w:type="paragraph" w:styleId="aa">
    <w:name w:val="footer"/>
    <w:basedOn w:val="a"/>
    <w:link w:val="ab"/>
    <w:uiPriority w:val="99"/>
    <w:semiHidden/>
    <w:unhideWhenUsed/>
    <w:pPr>
      <w:tabs>
        <w:tab w:val="center" w:pos="4677"/>
        <w:tab w:val="right" w:pos="9355"/>
      </w:tabs>
    </w:pPr>
  </w:style>
  <w:style w:type="character" w:customStyle="1" w:styleId="ab">
    <w:name w:val="Нижний колонтитул Знак"/>
    <w:basedOn w:val="a0"/>
    <w:link w:val="aa"/>
    <w:uiPriority w:val="99"/>
    <w:semiHidden/>
    <w:locked/>
    <w:rPr>
      <w:rFonts w:ascii="Times New Roman CYR" w:hAnsi="Times New Roman CYR" w:cs="Times New Roman CY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vo.garant.ru/document/redirect/12112604/2201"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ivo.garant.ru/document/redirect/12112604/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ivo.garant.ru/document/redirect/12112604/24207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ivo.garant.ru/document/redirect/12112604/242075" TargetMode="External"/><Relationship Id="rId4" Type="http://schemas.openxmlformats.org/officeDocument/2006/relationships/settings" Target="settings.xml"/><Relationship Id="rId9" Type="http://schemas.openxmlformats.org/officeDocument/2006/relationships/hyperlink" Target="http://ivo.garant.ru/document/redirect/12112604/2201"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629</Words>
  <Characters>3587</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4208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Маркелова Эльвира Николаевна</cp:lastModifiedBy>
  <cp:revision>2</cp:revision>
  <dcterms:created xsi:type="dcterms:W3CDTF">2022-12-08T06:34:00Z</dcterms:created>
  <dcterms:modified xsi:type="dcterms:W3CDTF">2022-12-08T06:34:00Z</dcterms:modified>
</cp:coreProperties>
</file>